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01787" w14:textId="41C26FAD" w:rsidR="00CB4FA1" w:rsidRPr="00C06E24" w:rsidRDefault="00DB315E" w:rsidP="00C06E24">
      <w:pPr>
        <w:jc w:val="center"/>
        <w:rPr>
          <w:rFonts w:asciiTheme="minorHAnsi" w:hAnsiTheme="minorHAnsi" w:cstheme="minorHAnsi"/>
          <w:iCs/>
          <w:sz w:val="36"/>
          <w:szCs w:val="36"/>
        </w:rPr>
      </w:pPr>
      <w:bookmarkStart w:id="0" w:name="_GoBack"/>
      <w:bookmarkEnd w:id="0"/>
      <w:r w:rsidRPr="00C06E24">
        <w:rPr>
          <w:rFonts w:asciiTheme="minorHAnsi" w:hAnsiTheme="minorHAnsi" w:cstheme="minorHAnsi"/>
          <w:iCs/>
          <w:sz w:val="36"/>
          <w:szCs w:val="36"/>
        </w:rPr>
        <w:t>Seventeenth-Century Libraries: Problems &amp; Perspectives</w:t>
      </w:r>
    </w:p>
    <w:p w14:paraId="544AC239" w14:textId="77777777" w:rsidR="00DB315E" w:rsidRPr="00C06E24" w:rsidRDefault="00DB315E" w:rsidP="00DB315E">
      <w:pPr>
        <w:jc w:val="center"/>
        <w:rPr>
          <w:rFonts w:asciiTheme="minorHAnsi" w:hAnsiTheme="minorHAnsi" w:cstheme="minorHAnsi"/>
        </w:rPr>
      </w:pPr>
    </w:p>
    <w:p w14:paraId="5309DB8C" w14:textId="7A87D2F9" w:rsidR="00DB315E" w:rsidRPr="00C06E24" w:rsidRDefault="009841B4" w:rsidP="002B2AC6">
      <w:pPr>
        <w:jc w:val="center"/>
        <w:rPr>
          <w:rFonts w:asciiTheme="minorHAnsi" w:hAnsiTheme="minorHAnsi" w:cstheme="minorHAnsi"/>
        </w:rPr>
      </w:pPr>
      <w:r w:rsidRPr="00C06E24">
        <w:rPr>
          <w:rFonts w:asciiTheme="minorHAnsi" w:hAnsiTheme="minorHAnsi" w:cstheme="minorHAnsi"/>
          <w:lang w:eastAsia="en-GB"/>
        </w:rPr>
        <w:drawing>
          <wp:inline distT="0" distB="0" distL="0" distR="0" wp14:anchorId="53E60DF6" wp14:editId="0D1D536D">
            <wp:extent cx="4961614" cy="1777738"/>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sizeoutput_1e1d.jpeg"/>
                    <pic:cNvPicPr/>
                  </pic:nvPicPr>
                  <pic:blipFill>
                    <a:blip r:embed="rId5">
                      <a:extLst>
                        <a:ext uri="{28A0092B-C50C-407E-A947-70E740481C1C}">
                          <a14:useLocalDpi xmlns:a14="http://schemas.microsoft.com/office/drawing/2010/main" val="0"/>
                        </a:ext>
                      </a:extLst>
                    </a:blip>
                    <a:stretch>
                      <a:fillRect/>
                    </a:stretch>
                  </pic:blipFill>
                  <pic:spPr>
                    <a:xfrm>
                      <a:off x="0" y="0"/>
                      <a:ext cx="4995618" cy="1789922"/>
                    </a:xfrm>
                    <a:prstGeom prst="rect">
                      <a:avLst/>
                    </a:prstGeom>
                  </pic:spPr>
                </pic:pic>
              </a:graphicData>
            </a:graphic>
          </wp:inline>
        </w:drawing>
      </w:r>
    </w:p>
    <w:p w14:paraId="1A351703" w14:textId="7E6128B1" w:rsidR="009841B4" w:rsidRPr="00C06E24" w:rsidRDefault="009841B4" w:rsidP="009841B4">
      <w:pPr>
        <w:jc w:val="center"/>
        <w:rPr>
          <w:rFonts w:asciiTheme="minorHAnsi" w:hAnsiTheme="minorHAnsi" w:cstheme="minorHAnsi"/>
          <w:iCs/>
        </w:rPr>
      </w:pPr>
      <w:r w:rsidRPr="00C06E24">
        <w:rPr>
          <w:rFonts w:asciiTheme="minorHAnsi" w:hAnsiTheme="minorHAnsi" w:cstheme="minorHAnsi"/>
          <w:iCs/>
        </w:rPr>
        <w:br/>
        <w:t>Centre for Editing Lives &amp; Letters (CELL)</w:t>
      </w:r>
    </w:p>
    <w:p w14:paraId="01C09593" w14:textId="77777777" w:rsidR="009841B4" w:rsidRPr="00C06E24" w:rsidRDefault="009841B4" w:rsidP="009841B4">
      <w:pPr>
        <w:jc w:val="center"/>
        <w:rPr>
          <w:rFonts w:asciiTheme="minorHAnsi" w:hAnsiTheme="minorHAnsi" w:cstheme="minorHAnsi"/>
          <w:iCs/>
        </w:rPr>
      </w:pPr>
      <w:r w:rsidRPr="00C06E24">
        <w:rPr>
          <w:rFonts w:asciiTheme="minorHAnsi" w:hAnsiTheme="minorHAnsi" w:cstheme="minorHAnsi"/>
          <w:iCs/>
        </w:rPr>
        <w:t>University College London</w:t>
      </w:r>
    </w:p>
    <w:p w14:paraId="5436E6D1" w14:textId="77777777" w:rsidR="009841B4" w:rsidRPr="00C06E24" w:rsidRDefault="009841B4" w:rsidP="009841B4">
      <w:pPr>
        <w:jc w:val="center"/>
        <w:rPr>
          <w:rFonts w:asciiTheme="minorHAnsi" w:hAnsiTheme="minorHAnsi" w:cstheme="minorHAnsi"/>
          <w:iCs/>
        </w:rPr>
      </w:pPr>
    </w:p>
    <w:p w14:paraId="5941C588" w14:textId="77777777" w:rsidR="009841B4" w:rsidRPr="00C06E24" w:rsidRDefault="009841B4" w:rsidP="009841B4">
      <w:pPr>
        <w:jc w:val="center"/>
        <w:rPr>
          <w:rFonts w:asciiTheme="minorHAnsi" w:hAnsiTheme="minorHAnsi" w:cstheme="minorHAnsi"/>
          <w:b/>
          <w:iCs/>
        </w:rPr>
      </w:pPr>
      <w:r w:rsidRPr="00C06E24">
        <w:rPr>
          <w:rFonts w:asciiTheme="minorHAnsi" w:hAnsiTheme="minorHAnsi" w:cstheme="minorHAnsi"/>
          <w:b/>
          <w:iCs/>
        </w:rPr>
        <w:t>June 6</w:t>
      </w:r>
      <w:r w:rsidRPr="00C06E24">
        <w:rPr>
          <w:rFonts w:asciiTheme="minorHAnsi" w:hAnsiTheme="minorHAnsi" w:cstheme="minorHAnsi"/>
          <w:b/>
          <w:iCs/>
          <w:vertAlign w:val="superscript"/>
        </w:rPr>
        <w:t>th</w:t>
      </w:r>
      <w:r w:rsidRPr="00C06E24">
        <w:rPr>
          <w:rFonts w:asciiTheme="minorHAnsi" w:hAnsiTheme="minorHAnsi" w:cstheme="minorHAnsi"/>
          <w:b/>
          <w:iCs/>
        </w:rPr>
        <w:t>-8</w:t>
      </w:r>
      <w:r w:rsidRPr="00C06E24">
        <w:rPr>
          <w:rFonts w:asciiTheme="minorHAnsi" w:hAnsiTheme="minorHAnsi" w:cstheme="minorHAnsi"/>
          <w:b/>
          <w:iCs/>
          <w:vertAlign w:val="superscript"/>
        </w:rPr>
        <w:t>th</w:t>
      </w:r>
      <w:r w:rsidRPr="00C06E24">
        <w:rPr>
          <w:rFonts w:asciiTheme="minorHAnsi" w:hAnsiTheme="minorHAnsi" w:cstheme="minorHAnsi"/>
          <w:b/>
          <w:iCs/>
        </w:rPr>
        <w:t xml:space="preserve"> 2019</w:t>
      </w:r>
    </w:p>
    <w:p w14:paraId="4B43C893" w14:textId="77777777" w:rsidR="009841B4" w:rsidRPr="00C06E24" w:rsidRDefault="009841B4" w:rsidP="009841B4">
      <w:pPr>
        <w:jc w:val="center"/>
        <w:rPr>
          <w:rFonts w:asciiTheme="minorHAnsi" w:hAnsiTheme="minorHAnsi" w:cstheme="minorHAnsi"/>
          <w:iCs/>
        </w:rPr>
      </w:pPr>
      <w:r w:rsidRPr="00C06E24">
        <w:rPr>
          <w:rFonts w:asciiTheme="minorHAnsi" w:hAnsiTheme="minorHAnsi" w:cstheme="minorHAnsi"/>
          <w:iCs/>
        </w:rPr>
        <w:t xml:space="preserve">Venue: University College London, IAS Common Ground </w:t>
      </w:r>
      <w:r w:rsidRPr="00C06E24">
        <w:rPr>
          <w:rFonts w:asciiTheme="minorHAnsi" w:hAnsiTheme="minorHAnsi" w:cstheme="minorHAnsi"/>
          <w:iCs/>
          <w:vanish/>
        </w:rPr>
        <w:t>IAS Common Ground</w:t>
      </w:r>
    </w:p>
    <w:p w14:paraId="47B58827" w14:textId="77777777" w:rsidR="009841B4" w:rsidRPr="00C06E24" w:rsidRDefault="009841B4" w:rsidP="00DB315E">
      <w:pPr>
        <w:rPr>
          <w:rFonts w:asciiTheme="minorHAnsi" w:hAnsiTheme="minorHAnsi" w:cstheme="minorHAnsi"/>
        </w:rPr>
      </w:pPr>
    </w:p>
    <w:p w14:paraId="3C3877B4" w14:textId="77777777" w:rsidR="00DB315E" w:rsidRPr="00C06E24" w:rsidRDefault="00DB315E" w:rsidP="0011003A">
      <w:pPr>
        <w:jc w:val="both"/>
        <w:rPr>
          <w:rFonts w:asciiTheme="minorHAnsi" w:hAnsiTheme="minorHAnsi" w:cstheme="minorHAnsi"/>
        </w:rPr>
      </w:pPr>
      <w:r w:rsidRPr="00C06E24">
        <w:rPr>
          <w:rFonts w:asciiTheme="minorHAnsi" w:hAnsiTheme="minorHAnsi" w:cstheme="minorHAnsi"/>
        </w:rPr>
        <w:t xml:space="preserve">This symposium </w:t>
      </w:r>
      <w:r w:rsidR="00CB4FA1" w:rsidRPr="00C06E24">
        <w:rPr>
          <w:rFonts w:asciiTheme="minorHAnsi" w:hAnsiTheme="minorHAnsi" w:cstheme="minorHAnsi"/>
        </w:rPr>
        <w:t>b</w:t>
      </w:r>
      <w:r w:rsidRPr="00C06E24">
        <w:rPr>
          <w:rFonts w:asciiTheme="minorHAnsi" w:hAnsiTheme="minorHAnsi" w:cstheme="minorHAnsi"/>
        </w:rPr>
        <w:t>ring</w:t>
      </w:r>
      <w:r w:rsidR="00CB4FA1" w:rsidRPr="00C06E24">
        <w:rPr>
          <w:rFonts w:asciiTheme="minorHAnsi" w:hAnsiTheme="minorHAnsi" w:cstheme="minorHAnsi"/>
        </w:rPr>
        <w:t>s</w:t>
      </w:r>
      <w:r w:rsidRPr="00C06E24">
        <w:rPr>
          <w:rFonts w:asciiTheme="minorHAnsi" w:hAnsiTheme="minorHAnsi" w:cstheme="minorHAnsi"/>
        </w:rPr>
        <w:t xml:space="preserve"> together a group of UK-based academics and librarians, as well as key </w:t>
      </w:r>
      <w:r w:rsidR="00CB4FA1" w:rsidRPr="00C06E24">
        <w:rPr>
          <w:rFonts w:asciiTheme="minorHAnsi" w:hAnsiTheme="minorHAnsi" w:cstheme="minorHAnsi"/>
        </w:rPr>
        <w:t>Continental scholars</w:t>
      </w:r>
      <w:r w:rsidRPr="00C06E24">
        <w:rPr>
          <w:rFonts w:asciiTheme="minorHAnsi" w:hAnsiTheme="minorHAnsi" w:cstheme="minorHAnsi"/>
        </w:rPr>
        <w:t>,</w:t>
      </w:r>
      <w:r w:rsidR="00CB4FA1" w:rsidRPr="00C06E24">
        <w:rPr>
          <w:rFonts w:asciiTheme="minorHAnsi" w:hAnsiTheme="minorHAnsi" w:cstheme="minorHAnsi"/>
        </w:rPr>
        <w:t xml:space="preserve"> in</w:t>
      </w:r>
      <w:r w:rsidRPr="00C06E24">
        <w:rPr>
          <w:rFonts w:asciiTheme="minorHAnsi" w:hAnsiTheme="minorHAnsi" w:cstheme="minorHAnsi"/>
        </w:rPr>
        <w:t xml:space="preserve"> an attempt to consolidate current research, for the first time, on seventeenth-century libraries and book collecting</w:t>
      </w:r>
      <w:r w:rsidR="008C59F0" w:rsidRPr="00C06E24">
        <w:rPr>
          <w:rFonts w:asciiTheme="minorHAnsi" w:hAnsiTheme="minorHAnsi" w:cstheme="minorHAnsi"/>
        </w:rPr>
        <w:t xml:space="preserve">. </w:t>
      </w:r>
      <w:r w:rsidR="0011003A" w:rsidRPr="00C06E24">
        <w:rPr>
          <w:rFonts w:asciiTheme="minorHAnsi" w:hAnsiTheme="minorHAnsi" w:cstheme="minorHAnsi"/>
        </w:rPr>
        <w:t xml:space="preserve">Much research has been done, but it remains scattered across disciplinary divides. Until separate findings have been amalgamated, we will not be able to establish the patterns of book acquisition and library formation for this important period. </w:t>
      </w:r>
    </w:p>
    <w:p w14:paraId="5D55192B" w14:textId="77777777" w:rsidR="00DB315E" w:rsidRPr="00C06E24" w:rsidRDefault="00E66691" w:rsidP="00E66691">
      <w:pPr>
        <w:ind w:firstLine="284"/>
        <w:jc w:val="both"/>
        <w:rPr>
          <w:rFonts w:asciiTheme="minorHAnsi" w:hAnsiTheme="minorHAnsi" w:cstheme="minorHAnsi"/>
        </w:rPr>
      </w:pPr>
      <w:r w:rsidRPr="00C06E24">
        <w:rPr>
          <w:rFonts w:asciiTheme="minorHAnsi" w:hAnsiTheme="minorHAnsi" w:cstheme="minorHAnsi"/>
          <w:i/>
        </w:rPr>
        <w:t xml:space="preserve">Seventeenth-Century Libraries: Problems &amp; Perspectives </w:t>
      </w:r>
      <w:r w:rsidR="00CB4FA1" w:rsidRPr="00C06E24">
        <w:rPr>
          <w:rFonts w:asciiTheme="minorHAnsi" w:hAnsiTheme="minorHAnsi" w:cstheme="minorHAnsi"/>
        </w:rPr>
        <w:t xml:space="preserve">will address questions of </w:t>
      </w:r>
      <w:r w:rsidR="00CB4FA1" w:rsidRPr="00C06E24">
        <w:rPr>
          <w:rFonts w:asciiTheme="minorHAnsi" w:hAnsiTheme="minorHAnsi" w:cstheme="minorHAnsi"/>
          <w:lang w:val="en-US"/>
        </w:rPr>
        <w:t xml:space="preserve">topography and typology, networks of library activity, </w:t>
      </w:r>
      <w:r w:rsidR="0011003A" w:rsidRPr="00C06E24">
        <w:rPr>
          <w:rFonts w:asciiTheme="minorHAnsi" w:hAnsiTheme="minorHAnsi" w:cstheme="minorHAnsi"/>
          <w:lang w:val="en-US"/>
        </w:rPr>
        <w:t>administration,</w:t>
      </w:r>
      <w:r w:rsidR="00CB4FA1" w:rsidRPr="00C06E24">
        <w:rPr>
          <w:rFonts w:asciiTheme="minorHAnsi" w:hAnsiTheme="minorHAnsi" w:cstheme="minorHAnsi"/>
          <w:lang w:val="en-US"/>
        </w:rPr>
        <w:t xml:space="preserve"> visual identity, dispersal, owners and content</w:t>
      </w:r>
      <w:r w:rsidR="0011003A" w:rsidRPr="00C06E24">
        <w:rPr>
          <w:rFonts w:asciiTheme="minorHAnsi" w:hAnsiTheme="minorHAnsi" w:cstheme="minorHAnsi"/>
          <w:lang w:val="en-US"/>
        </w:rPr>
        <w:t>, and definitions of public and private</w:t>
      </w:r>
      <w:r w:rsidR="00CB4FA1" w:rsidRPr="00C06E24">
        <w:rPr>
          <w:rFonts w:asciiTheme="minorHAnsi" w:hAnsiTheme="minorHAnsi" w:cstheme="minorHAnsi"/>
          <w:lang w:val="en-US"/>
        </w:rPr>
        <w:t>. The symposium will also confront</w:t>
      </w:r>
      <w:r w:rsidR="00DB315E" w:rsidRPr="00C06E24">
        <w:rPr>
          <w:rFonts w:asciiTheme="minorHAnsi" w:hAnsiTheme="minorHAnsi" w:cstheme="minorHAnsi"/>
        </w:rPr>
        <w:t xml:space="preserve"> current topics of cultural and intellectual history – especially heritage and antiquarianism, the circulation and management of knowledge, and the rise of consumerism and the culture of collecting, as presented in such books as Arthur MacGregor’s </w:t>
      </w:r>
      <w:r w:rsidR="00DB315E" w:rsidRPr="00C06E24">
        <w:rPr>
          <w:rFonts w:asciiTheme="minorHAnsi" w:hAnsiTheme="minorHAnsi" w:cstheme="minorHAnsi"/>
          <w:i/>
          <w:iCs/>
        </w:rPr>
        <w:t>Curiosity and Enlightenment</w:t>
      </w:r>
      <w:r w:rsidR="00DB315E" w:rsidRPr="00C06E24">
        <w:rPr>
          <w:rFonts w:asciiTheme="minorHAnsi" w:hAnsiTheme="minorHAnsi" w:cstheme="minorHAnsi"/>
        </w:rPr>
        <w:t xml:space="preserve"> (2007),</w:t>
      </w:r>
      <w:r w:rsidR="00DB315E" w:rsidRPr="00C06E24">
        <w:rPr>
          <w:rFonts w:asciiTheme="minorHAnsi" w:hAnsiTheme="minorHAnsi" w:cstheme="minorHAnsi"/>
          <w:i/>
          <w:iCs/>
        </w:rPr>
        <w:t xml:space="preserve"> </w:t>
      </w:r>
      <w:r w:rsidR="00DB315E" w:rsidRPr="00C06E24">
        <w:rPr>
          <w:rFonts w:asciiTheme="minorHAnsi" w:hAnsiTheme="minorHAnsi" w:cstheme="minorHAnsi"/>
        </w:rPr>
        <w:t xml:space="preserve">Ann Blair’s </w:t>
      </w:r>
      <w:r w:rsidR="00DB315E" w:rsidRPr="00C06E24">
        <w:rPr>
          <w:rFonts w:asciiTheme="minorHAnsi" w:hAnsiTheme="minorHAnsi" w:cstheme="minorHAnsi"/>
          <w:i/>
          <w:iCs/>
        </w:rPr>
        <w:t xml:space="preserve">Too Much to Know </w:t>
      </w:r>
      <w:r w:rsidR="00DB315E" w:rsidRPr="00C06E24">
        <w:rPr>
          <w:rFonts w:asciiTheme="minorHAnsi" w:hAnsiTheme="minorHAnsi" w:cstheme="minorHAnsi"/>
        </w:rPr>
        <w:t xml:space="preserve">(2010), and Linda Levy Peck’s </w:t>
      </w:r>
      <w:r w:rsidR="00DB315E" w:rsidRPr="00C06E24">
        <w:rPr>
          <w:rFonts w:asciiTheme="minorHAnsi" w:hAnsiTheme="minorHAnsi" w:cstheme="minorHAnsi"/>
          <w:i/>
          <w:iCs/>
        </w:rPr>
        <w:t>Consuming Splendor</w:t>
      </w:r>
      <w:r w:rsidR="00DB315E" w:rsidRPr="00C06E24">
        <w:rPr>
          <w:rFonts w:asciiTheme="minorHAnsi" w:hAnsiTheme="minorHAnsi" w:cstheme="minorHAnsi"/>
        </w:rPr>
        <w:t xml:space="preserve"> (2005). </w:t>
      </w:r>
    </w:p>
    <w:p w14:paraId="24B36C3A" w14:textId="77777777" w:rsidR="00E97888" w:rsidRPr="00C06E24" w:rsidRDefault="00E97888" w:rsidP="00D33A2C">
      <w:pPr>
        <w:ind w:firstLine="720"/>
        <w:jc w:val="both"/>
        <w:rPr>
          <w:rFonts w:asciiTheme="minorHAnsi" w:hAnsiTheme="minorHAnsi" w:cstheme="minorHAnsi"/>
        </w:rPr>
      </w:pPr>
    </w:p>
    <w:p w14:paraId="124BAC3D" w14:textId="6ECC6B11" w:rsidR="001B5CD8" w:rsidRPr="00C06E24" w:rsidRDefault="002017AD" w:rsidP="00D33A2C">
      <w:pPr>
        <w:ind w:firstLine="720"/>
        <w:jc w:val="both"/>
        <w:rPr>
          <w:rFonts w:asciiTheme="minorHAnsi" w:hAnsiTheme="minorHAnsi" w:cstheme="minorHAnsi"/>
        </w:rPr>
      </w:pPr>
      <w:r w:rsidRPr="00C06E24">
        <w:rPr>
          <w:rFonts w:asciiTheme="minorHAnsi" w:hAnsiTheme="minorHAnsi" w:cstheme="minorHAnsi"/>
        </w:rPr>
        <w:t>Full r</w:t>
      </w:r>
      <w:r w:rsidR="001B5CD8" w:rsidRPr="00C06E24">
        <w:rPr>
          <w:rFonts w:asciiTheme="minorHAnsi" w:hAnsiTheme="minorHAnsi" w:cstheme="minorHAnsi"/>
        </w:rPr>
        <w:t xml:space="preserve">egistration fee (includes tea/coffee on all days, and lunch on Friday): </w:t>
      </w:r>
      <w:r w:rsidRPr="00C06E24">
        <w:rPr>
          <w:rFonts w:asciiTheme="minorHAnsi" w:hAnsiTheme="minorHAnsi" w:cstheme="minorHAnsi"/>
        </w:rPr>
        <w:t>£50</w:t>
      </w:r>
    </w:p>
    <w:p w14:paraId="7C1B585A" w14:textId="67A7A2E5" w:rsidR="001B5CD8" w:rsidRPr="00C06E24" w:rsidRDefault="002017AD" w:rsidP="00D33A2C">
      <w:pPr>
        <w:ind w:firstLine="720"/>
        <w:jc w:val="both"/>
        <w:rPr>
          <w:rFonts w:asciiTheme="minorHAnsi" w:hAnsiTheme="minorHAnsi" w:cstheme="minorHAnsi"/>
        </w:rPr>
      </w:pPr>
      <w:r w:rsidRPr="00C06E24">
        <w:rPr>
          <w:rFonts w:asciiTheme="minorHAnsi" w:hAnsiTheme="minorHAnsi" w:cstheme="minorHAnsi"/>
        </w:rPr>
        <w:t>F</w:t>
      </w:r>
      <w:r w:rsidR="001B5CD8" w:rsidRPr="00C06E24">
        <w:rPr>
          <w:rFonts w:asciiTheme="minorHAnsi" w:hAnsiTheme="minorHAnsi" w:cstheme="minorHAnsi"/>
        </w:rPr>
        <w:t xml:space="preserve">ull day </w:t>
      </w:r>
      <w:r w:rsidR="0059014F" w:rsidRPr="00C06E24">
        <w:rPr>
          <w:rFonts w:asciiTheme="minorHAnsi" w:hAnsiTheme="minorHAnsi" w:cstheme="minorHAnsi"/>
        </w:rPr>
        <w:t>(Friday)</w:t>
      </w:r>
      <w:r w:rsidRPr="00C06E24">
        <w:rPr>
          <w:rFonts w:asciiTheme="minorHAnsi" w:hAnsiTheme="minorHAnsi" w:cstheme="minorHAnsi"/>
        </w:rPr>
        <w:t xml:space="preserve"> only (incluces tea/coffee and lunch): £35</w:t>
      </w:r>
    </w:p>
    <w:p w14:paraId="40197DBD" w14:textId="3271B376" w:rsidR="001B5CD8" w:rsidRPr="00C06E24" w:rsidRDefault="002017AD" w:rsidP="00D33A2C">
      <w:pPr>
        <w:ind w:firstLine="720"/>
        <w:jc w:val="both"/>
        <w:rPr>
          <w:rFonts w:asciiTheme="minorHAnsi" w:hAnsiTheme="minorHAnsi" w:cstheme="minorHAnsi"/>
        </w:rPr>
      </w:pPr>
      <w:r w:rsidRPr="00C06E24">
        <w:rPr>
          <w:rFonts w:asciiTheme="minorHAnsi" w:hAnsiTheme="minorHAnsi" w:cstheme="minorHAnsi"/>
        </w:rPr>
        <w:t xml:space="preserve">One half-day (Thursday or </w:t>
      </w:r>
      <w:r w:rsidR="0059014F" w:rsidRPr="00C06E24">
        <w:rPr>
          <w:rFonts w:asciiTheme="minorHAnsi" w:hAnsiTheme="minorHAnsi" w:cstheme="minorHAnsi"/>
        </w:rPr>
        <w:t>Saturday</w:t>
      </w:r>
      <w:r w:rsidR="001B5CD8" w:rsidRPr="00C06E24">
        <w:rPr>
          <w:rFonts w:asciiTheme="minorHAnsi" w:hAnsiTheme="minorHAnsi" w:cstheme="minorHAnsi"/>
        </w:rPr>
        <w:t>)</w:t>
      </w:r>
      <w:r w:rsidRPr="00C06E24">
        <w:rPr>
          <w:rFonts w:asciiTheme="minorHAnsi" w:hAnsiTheme="minorHAnsi" w:cstheme="minorHAnsi"/>
        </w:rPr>
        <w:t xml:space="preserve"> (includes tea/coffee): £15</w:t>
      </w:r>
    </w:p>
    <w:p w14:paraId="2CF99E0B" w14:textId="028C3669" w:rsidR="007C37F8" w:rsidRPr="00C06E24" w:rsidRDefault="00E66691" w:rsidP="00D33A2C">
      <w:pPr>
        <w:ind w:firstLine="720"/>
        <w:jc w:val="both"/>
        <w:rPr>
          <w:rFonts w:asciiTheme="minorHAnsi" w:hAnsiTheme="minorHAnsi" w:cstheme="minorHAnsi"/>
        </w:rPr>
      </w:pPr>
      <w:r w:rsidRPr="00C06E24">
        <w:rPr>
          <w:rFonts w:asciiTheme="minorHAnsi" w:hAnsiTheme="minorHAnsi" w:cstheme="minorHAnsi"/>
        </w:rPr>
        <w:t>Please r</w:t>
      </w:r>
      <w:r w:rsidR="007C37F8" w:rsidRPr="00C06E24">
        <w:rPr>
          <w:rFonts w:asciiTheme="minorHAnsi" w:hAnsiTheme="minorHAnsi" w:cstheme="minorHAnsi"/>
        </w:rPr>
        <w:t xml:space="preserve">egister via </w:t>
      </w:r>
      <w:hyperlink r:id="rId6" w:history="1">
        <w:r w:rsidRPr="00C06E24">
          <w:rPr>
            <w:rStyle w:val="Hyperlink"/>
            <w:rFonts w:asciiTheme="minorHAnsi" w:hAnsiTheme="minorHAnsi" w:cstheme="minorHAnsi"/>
          </w:rPr>
          <w:t>UCL</w:t>
        </w:r>
        <w:r w:rsidR="009841B4" w:rsidRPr="00C06E24">
          <w:rPr>
            <w:rStyle w:val="Hyperlink"/>
            <w:rFonts w:asciiTheme="minorHAnsi" w:hAnsiTheme="minorHAnsi" w:cstheme="minorHAnsi"/>
          </w:rPr>
          <w:t xml:space="preserve"> online store</w:t>
        </w:r>
      </w:hyperlink>
      <w:r w:rsidR="009841B4" w:rsidRPr="00C06E24">
        <w:rPr>
          <w:rFonts w:asciiTheme="minorHAnsi" w:hAnsiTheme="minorHAnsi" w:cstheme="minorHAnsi"/>
        </w:rPr>
        <w:t xml:space="preserve"> </w:t>
      </w:r>
    </w:p>
    <w:p w14:paraId="10DE3CCA" w14:textId="38CECD1A" w:rsidR="00C06E24" w:rsidRPr="00C06E24" w:rsidRDefault="00C06E24" w:rsidP="00D33A2C">
      <w:pPr>
        <w:ind w:firstLine="720"/>
        <w:jc w:val="both"/>
        <w:rPr>
          <w:rFonts w:asciiTheme="minorHAnsi" w:hAnsiTheme="minorHAnsi" w:cstheme="minorHAnsi"/>
        </w:rPr>
      </w:pPr>
    </w:p>
    <w:p w14:paraId="1F903026" w14:textId="08CFCE71" w:rsidR="00C06E24" w:rsidRPr="00C06E24" w:rsidRDefault="00C06E24" w:rsidP="00C06E24">
      <w:pPr>
        <w:rPr>
          <w:rFonts w:asciiTheme="minorHAnsi" w:eastAsia="Times New Roman" w:hAnsiTheme="minorHAnsi" w:cstheme="minorHAnsi"/>
          <w:noProof w:val="0"/>
        </w:rPr>
      </w:pPr>
      <w:r w:rsidRPr="00C06E24">
        <w:rPr>
          <w:rFonts w:asciiTheme="minorHAnsi" w:eastAsia="Times New Roman" w:hAnsiTheme="minorHAnsi" w:cstheme="minorHAnsi"/>
          <w:noProof w:val="0"/>
          <w:color w:val="000000"/>
        </w:rPr>
        <w:t>For further information, please cont</w:t>
      </w:r>
      <w:r>
        <w:rPr>
          <w:rFonts w:asciiTheme="minorHAnsi" w:eastAsia="Times New Roman" w:hAnsiTheme="minorHAnsi" w:cstheme="minorHAnsi"/>
          <w:noProof w:val="0"/>
          <w:color w:val="000000"/>
        </w:rPr>
        <w:t>act Dr Robyn Adams (</w:t>
      </w:r>
      <w:hyperlink r:id="rId7" w:history="1">
        <w:r w:rsidRPr="00BF07EC">
          <w:rPr>
            <w:rStyle w:val="Hyperlink"/>
            <w:rFonts w:asciiTheme="minorHAnsi" w:eastAsia="Times New Roman" w:hAnsiTheme="minorHAnsi" w:cstheme="minorHAnsi"/>
            <w:noProof w:val="0"/>
          </w:rPr>
          <w:t>robyn.adams</w:t>
        </w:r>
        <w:r w:rsidRPr="00C06E24">
          <w:rPr>
            <w:rStyle w:val="Hyperlink"/>
            <w:rFonts w:asciiTheme="minorHAnsi" w:eastAsia="Times New Roman" w:hAnsiTheme="minorHAnsi" w:cstheme="minorHAnsi"/>
            <w:noProof w:val="0"/>
          </w:rPr>
          <w:t>@ucl.ac.uk</w:t>
        </w:r>
      </w:hyperlink>
      <w:r w:rsidRPr="00C06E24">
        <w:rPr>
          <w:rFonts w:asciiTheme="minorHAnsi" w:eastAsia="Times New Roman" w:hAnsiTheme="minorHAnsi" w:cstheme="minorHAnsi"/>
          <w:noProof w:val="0"/>
          <w:color w:val="000000"/>
        </w:rPr>
        <w:t>)</w:t>
      </w:r>
      <w:r>
        <w:rPr>
          <w:rFonts w:asciiTheme="minorHAnsi" w:eastAsia="Times New Roman" w:hAnsiTheme="minorHAnsi" w:cstheme="minorHAnsi"/>
          <w:noProof w:val="0"/>
          <w:color w:val="000000"/>
        </w:rPr>
        <w:t xml:space="preserve"> </w:t>
      </w:r>
      <w:r w:rsidRPr="00C06E24">
        <w:rPr>
          <w:rFonts w:asciiTheme="minorHAnsi" w:eastAsia="Times New Roman" w:hAnsiTheme="minorHAnsi" w:cstheme="minorHAnsi"/>
          <w:noProof w:val="0"/>
          <w:color w:val="000000"/>
        </w:rPr>
        <w:t>or Dr Jacqueline Glomski (</w:t>
      </w:r>
      <w:hyperlink r:id="rId8" w:history="1">
        <w:r w:rsidRPr="00C06E24">
          <w:rPr>
            <w:rFonts w:asciiTheme="minorHAnsi" w:eastAsia="Times New Roman" w:hAnsiTheme="minorHAnsi" w:cstheme="minorHAnsi"/>
            <w:noProof w:val="0"/>
            <w:color w:val="0000FF"/>
            <w:u w:val="single"/>
          </w:rPr>
          <w:t>j.glomski@ucl.ac.uk</w:t>
        </w:r>
      </w:hyperlink>
      <w:r w:rsidRPr="00C06E24">
        <w:rPr>
          <w:rFonts w:asciiTheme="minorHAnsi" w:eastAsia="Times New Roman" w:hAnsiTheme="minorHAnsi" w:cstheme="minorHAnsi"/>
          <w:noProof w:val="0"/>
          <w:color w:val="000000"/>
        </w:rPr>
        <w:t>)</w:t>
      </w:r>
    </w:p>
    <w:p w14:paraId="0F0595EA" w14:textId="0FA6022D" w:rsidR="0011003A" w:rsidRPr="00C06E24" w:rsidRDefault="00C06E24" w:rsidP="00C06E24">
      <w:pPr>
        <w:jc w:val="center"/>
        <w:rPr>
          <w:rFonts w:asciiTheme="minorHAnsi" w:hAnsiTheme="minorHAnsi" w:cstheme="minorHAnsi"/>
          <w:b/>
        </w:rPr>
      </w:pPr>
      <w:r>
        <w:rPr>
          <w:rFonts w:asciiTheme="minorHAnsi" w:hAnsiTheme="minorHAnsi" w:cstheme="minorHAnsi"/>
          <w:b/>
        </w:rPr>
        <w:br/>
      </w:r>
      <w:r w:rsidR="00E66691" w:rsidRPr="00C06E24">
        <w:rPr>
          <w:rFonts w:asciiTheme="minorHAnsi" w:hAnsiTheme="minorHAnsi" w:cstheme="minorHAnsi"/>
          <w:b/>
        </w:rPr>
        <w:t xml:space="preserve">PROVISIONAL </w:t>
      </w:r>
      <w:r w:rsidR="003C213B" w:rsidRPr="00C06E24">
        <w:rPr>
          <w:rFonts w:asciiTheme="minorHAnsi" w:hAnsiTheme="minorHAnsi" w:cstheme="minorHAnsi"/>
          <w:b/>
        </w:rPr>
        <w:t>PROGRAMME</w:t>
      </w:r>
    </w:p>
    <w:p w14:paraId="6454DE4A" w14:textId="77777777" w:rsidR="006F7A50" w:rsidRPr="00C06E24" w:rsidRDefault="006F7A50" w:rsidP="001B5CD8">
      <w:pPr>
        <w:jc w:val="center"/>
        <w:rPr>
          <w:rFonts w:asciiTheme="minorHAnsi" w:hAnsiTheme="minorHAnsi" w:cstheme="minorHAnsi"/>
          <w:u w:val="single"/>
        </w:rPr>
      </w:pPr>
      <w:r w:rsidRPr="00C06E24">
        <w:rPr>
          <w:rFonts w:asciiTheme="minorHAnsi" w:hAnsiTheme="minorHAnsi" w:cstheme="minorHAnsi"/>
          <w:u w:val="single"/>
        </w:rPr>
        <w:t>Thursday, 6 June</w:t>
      </w:r>
      <w:r w:rsidR="00724130" w:rsidRPr="00C06E24">
        <w:rPr>
          <w:rFonts w:asciiTheme="minorHAnsi" w:hAnsiTheme="minorHAnsi" w:cstheme="minorHAnsi"/>
          <w:u w:val="single"/>
        </w:rPr>
        <w:t xml:space="preserve"> (1.45 – 5.30)</w:t>
      </w:r>
    </w:p>
    <w:p w14:paraId="26E0A423" w14:textId="77777777" w:rsidR="006F7A50" w:rsidRPr="00C06E24" w:rsidRDefault="006F7A50" w:rsidP="006F7A50">
      <w:pPr>
        <w:rPr>
          <w:rFonts w:asciiTheme="minorHAnsi" w:hAnsiTheme="minorHAnsi" w:cstheme="minorHAnsi"/>
        </w:rPr>
      </w:pPr>
      <w:r w:rsidRPr="00C06E24">
        <w:rPr>
          <w:rFonts w:asciiTheme="minorHAnsi" w:hAnsiTheme="minorHAnsi" w:cstheme="minorHAnsi"/>
          <w:b/>
        </w:rPr>
        <w:t>Classification, Typologies, Arrangement</w:t>
      </w:r>
    </w:p>
    <w:p w14:paraId="130591BC" w14:textId="77777777" w:rsidR="006F7A50" w:rsidRPr="00C06E24" w:rsidRDefault="00724130" w:rsidP="00E66691">
      <w:pPr>
        <w:pStyle w:val="ListParagraph"/>
        <w:numPr>
          <w:ilvl w:val="0"/>
          <w:numId w:val="9"/>
        </w:numPr>
        <w:ind w:left="284" w:hanging="284"/>
        <w:rPr>
          <w:rFonts w:asciiTheme="minorHAnsi" w:hAnsiTheme="minorHAnsi" w:cstheme="minorHAnsi"/>
        </w:rPr>
      </w:pPr>
      <w:r w:rsidRPr="00C06E24">
        <w:rPr>
          <w:rFonts w:asciiTheme="minorHAnsi" w:hAnsiTheme="minorHAnsi" w:cstheme="minorHAnsi"/>
        </w:rPr>
        <w:t xml:space="preserve">Richard Foster (Winchester College), </w:t>
      </w:r>
      <w:r w:rsidR="006F7A50" w:rsidRPr="00C06E24">
        <w:rPr>
          <w:rFonts w:asciiTheme="minorHAnsi" w:hAnsiTheme="minorHAnsi" w:cstheme="minorHAnsi"/>
        </w:rPr>
        <w:t>‘Problems of Classification in Seventeenth-Century English Libraries’</w:t>
      </w:r>
    </w:p>
    <w:p w14:paraId="57B4838E" w14:textId="77777777" w:rsidR="006F7A50" w:rsidRPr="00C06E24" w:rsidRDefault="00724130" w:rsidP="00E66691">
      <w:pPr>
        <w:pStyle w:val="ListParagraph"/>
        <w:numPr>
          <w:ilvl w:val="0"/>
          <w:numId w:val="9"/>
        </w:numPr>
        <w:ind w:left="284" w:hanging="284"/>
        <w:rPr>
          <w:rFonts w:asciiTheme="minorHAnsi" w:hAnsiTheme="minorHAnsi" w:cstheme="minorHAnsi"/>
        </w:rPr>
      </w:pPr>
      <w:r w:rsidRPr="00C06E24">
        <w:rPr>
          <w:rFonts w:asciiTheme="minorHAnsi" w:hAnsiTheme="minorHAnsi" w:cstheme="minorHAnsi"/>
        </w:rPr>
        <w:lastRenderedPageBreak/>
        <w:t xml:space="preserve">Shanti Graheli (University of Glasgow),  </w:t>
      </w:r>
      <w:r w:rsidR="006F7A50" w:rsidRPr="00C06E24">
        <w:rPr>
          <w:rFonts w:asciiTheme="minorHAnsi" w:hAnsiTheme="minorHAnsi" w:cstheme="minorHAnsi"/>
        </w:rPr>
        <w:t>‘Parisian Libraries at the Turn of the Seventeenth Century’</w:t>
      </w:r>
    </w:p>
    <w:p w14:paraId="4327C982" w14:textId="77777777" w:rsidR="006F7A50" w:rsidRPr="00C06E24" w:rsidRDefault="00724130" w:rsidP="00E66691">
      <w:pPr>
        <w:pStyle w:val="ListParagraph"/>
        <w:numPr>
          <w:ilvl w:val="0"/>
          <w:numId w:val="9"/>
        </w:numPr>
        <w:ind w:left="284" w:hanging="284"/>
        <w:rPr>
          <w:rFonts w:asciiTheme="minorHAnsi" w:hAnsiTheme="minorHAnsi" w:cstheme="minorHAnsi"/>
        </w:rPr>
      </w:pPr>
      <w:r w:rsidRPr="00C06E24">
        <w:rPr>
          <w:rFonts w:asciiTheme="minorHAnsi" w:hAnsiTheme="minorHAnsi" w:cstheme="minorHAnsi"/>
        </w:rPr>
        <w:t xml:space="preserve">Adrian Green (Durham University), </w:t>
      </w:r>
      <w:r w:rsidR="006F7A50" w:rsidRPr="00C06E24">
        <w:rPr>
          <w:rFonts w:asciiTheme="minorHAnsi" w:hAnsiTheme="minorHAnsi" w:cstheme="minorHAnsi"/>
        </w:rPr>
        <w:t>‘Bishop Cosin's Library in Architectural Context’</w:t>
      </w:r>
    </w:p>
    <w:p w14:paraId="686A61C8" w14:textId="77777777" w:rsidR="006F7A50" w:rsidRPr="00C06E24" w:rsidRDefault="006F7A50" w:rsidP="006F7A50">
      <w:pPr>
        <w:rPr>
          <w:rFonts w:asciiTheme="minorHAnsi" w:hAnsiTheme="minorHAnsi" w:cstheme="minorHAnsi"/>
        </w:rPr>
      </w:pPr>
      <w:r w:rsidRPr="00C06E24">
        <w:rPr>
          <w:rFonts w:asciiTheme="minorHAnsi" w:hAnsiTheme="minorHAnsi" w:cstheme="minorHAnsi"/>
          <w:b/>
        </w:rPr>
        <w:t>Keynote</w:t>
      </w:r>
    </w:p>
    <w:p w14:paraId="54362287" w14:textId="77777777" w:rsidR="006F7A50" w:rsidRPr="00C06E24" w:rsidRDefault="00724130" w:rsidP="00724130">
      <w:pPr>
        <w:rPr>
          <w:rFonts w:asciiTheme="minorHAnsi" w:hAnsiTheme="minorHAnsi" w:cstheme="minorHAnsi"/>
        </w:rPr>
      </w:pPr>
      <w:r w:rsidRPr="00C06E24">
        <w:rPr>
          <w:rFonts w:asciiTheme="minorHAnsi" w:hAnsiTheme="minorHAnsi" w:cstheme="minorHAnsi"/>
        </w:rPr>
        <w:t xml:space="preserve">Jill Bepler (Wolfenbüttel), </w:t>
      </w:r>
      <w:r w:rsidR="006F7A50" w:rsidRPr="00C06E24">
        <w:rPr>
          <w:rFonts w:asciiTheme="minorHAnsi" w:hAnsiTheme="minorHAnsi" w:cstheme="minorHAnsi"/>
        </w:rPr>
        <w:t>‘Dynastic Women and Book Collecting in Seventeenth-Century Germany: Fragmented Evidence’</w:t>
      </w:r>
    </w:p>
    <w:p w14:paraId="3BD76BF6" w14:textId="77777777" w:rsidR="00724130" w:rsidRPr="00C06E24" w:rsidRDefault="006F7A50" w:rsidP="001B5CD8">
      <w:pPr>
        <w:jc w:val="center"/>
        <w:rPr>
          <w:rFonts w:asciiTheme="minorHAnsi" w:hAnsiTheme="minorHAnsi" w:cstheme="minorHAnsi"/>
        </w:rPr>
      </w:pPr>
      <w:r w:rsidRPr="00C06E24">
        <w:rPr>
          <w:rFonts w:asciiTheme="minorHAnsi" w:hAnsiTheme="minorHAnsi" w:cstheme="minorHAnsi"/>
          <w:u w:val="single"/>
        </w:rPr>
        <w:t>Friday, 7 June</w:t>
      </w:r>
      <w:r w:rsidR="00724130" w:rsidRPr="00C06E24">
        <w:rPr>
          <w:rFonts w:asciiTheme="minorHAnsi" w:hAnsiTheme="minorHAnsi" w:cstheme="minorHAnsi"/>
          <w:u w:val="single"/>
        </w:rPr>
        <w:t xml:space="preserve"> (</w:t>
      </w:r>
      <w:r w:rsidRPr="00C06E24">
        <w:rPr>
          <w:rFonts w:asciiTheme="minorHAnsi" w:hAnsiTheme="minorHAnsi" w:cstheme="minorHAnsi"/>
          <w:u w:val="single"/>
        </w:rPr>
        <w:t>10.00</w:t>
      </w:r>
      <w:r w:rsidR="00724130" w:rsidRPr="00C06E24">
        <w:rPr>
          <w:rFonts w:asciiTheme="minorHAnsi" w:hAnsiTheme="minorHAnsi" w:cstheme="minorHAnsi"/>
          <w:u w:val="single"/>
        </w:rPr>
        <w:t xml:space="preserve"> – 5.30)</w:t>
      </w:r>
    </w:p>
    <w:p w14:paraId="52558AD1" w14:textId="77777777" w:rsidR="006F7A50" w:rsidRPr="00C06E24" w:rsidRDefault="006F7A50" w:rsidP="006F7A50">
      <w:pPr>
        <w:rPr>
          <w:rFonts w:asciiTheme="minorHAnsi" w:hAnsiTheme="minorHAnsi" w:cstheme="minorHAnsi"/>
        </w:rPr>
      </w:pPr>
      <w:r w:rsidRPr="00C06E24">
        <w:rPr>
          <w:rFonts w:asciiTheme="minorHAnsi" w:hAnsiTheme="minorHAnsi" w:cstheme="minorHAnsi"/>
          <w:b/>
        </w:rPr>
        <w:t>Italian, French, and Spanish Books</w:t>
      </w:r>
    </w:p>
    <w:p w14:paraId="36BB5496" w14:textId="77777777" w:rsidR="006F7A50" w:rsidRPr="00C06E24" w:rsidRDefault="00724130" w:rsidP="00E66691">
      <w:pPr>
        <w:pStyle w:val="ListParagraph"/>
        <w:numPr>
          <w:ilvl w:val="0"/>
          <w:numId w:val="10"/>
        </w:numPr>
        <w:ind w:left="284" w:hanging="284"/>
        <w:rPr>
          <w:rFonts w:asciiTheme="minorHAnsi" w:hAnsiTheme="minorHAnsi" w:cstheme="minorHAnsi"/>
        </w:rPr>
      </w:pPr>
      <w:r w:rsidRPr="00C06E24">
        <w:rPr>
          <w:rFonts w:asciiTheme="minorHAnsi" w:hAnsiTheme="minorHAnsi" w:cstheme="minorHAnsi"/>
        </w:rPr>
        <w:t xml:space="preserve">Dorit Raines (Università Ca' Foscari, Venezia), </w:t>
      </w:r>
      <w:r w:rsidR="006F7A50" w:rsidRPr="00C06E24">
        <w:rPr>
          <w:rFonts w:asciiTheme="minorHAnsi" w:hAnsiTheme="minorHAnsi" w:cstheme="minorHAnsi"/>
        </w:rPr>
        <w:t>‘The Architecture of Knowledge in Seventeenth-Century Italian Libraries’</w:t>
      </w:r>
    </w:p>
    <w:p w14:paraId="4BA8BE1B" w14:textId="77777777" w:rsidR="006F7A50" w:rsidRPr="00C06E24" w:rsidRDefault="00724130" w:rsidP="00E66691">
      <w:pPr>
        <w:pStyle w:val="ListParagraph"/>
        <w:numPr>
          <w:ilvl w:val="0"/>
          <w:numId w:val="10"/>
        </w:numPr>
        <w:ind w:left="284" w:hanging="284"/>
        <w:rPr>
          <w:rFonts w:asciiTheme="minorHAnsi" w:hAnsiTheme="minorHAnsi" w:cstheme="minorHAnsi"/>
        </w:rPr>
      </w:pPr>
      <w:r w:rsidRPr="00C06E24">
        <w:rPr>
          <w:rFonts w:asciiTheme="minorHAnsi" w:hAnsiTheme="minorHAnsi" w:cstheme="minorHAnsi"/>
        </w:rPr>
        <w:t xml:space="preserve">Raphaële Mouren (The Warburg Institute), </w:t>
      </w:r>
      <w:r w:rsidR="006F7A50" w:rsidRPr="00C06E24">
        <w:rPr>
          <w:rFonts w:asciiTheme="minorHAnsi" w:hAnsiTheme="minorHAnsi" w:cstheme="minorHAnsi"/>
        </w:rPr>
        <w:t>‘What about Seventeenth-Century Books in Bibliophile Collections?’</w:t>
      </w:r>
    </w:p>
    <w:p w14:paraId="2391F3D1" w14:textId="77777777" w:rsidR="00E66691" w:rsidRPr="00C06E24" w:rsidRDefault="00724130" w:rsidP="006F7A50">
      <w:pPr>
        <w:pStyle w:val="ListParagraph"/>
        <w:numPr>
          <w:ilvl w:val="0"/>
          <w:numId w:val="10"/>
        </w:numPr>
        <w:ind w:left="284" w:hanging="284"/>
        <w:rPr>
          <w:rFonts w:asciiTheme="minorHAnsi" w:hAnsiTheme="minorHAnsi" w:cstheme="minorHAnsi"/>
        </w:rPr>
      </w:pPr>
      <w:r w:rsidRPr="00C06E24">
        <w:rPr>
          <w:rFonts w:asciiTheme="minorHAnsi" w:hAnsiTheme="minorHAnsi" w:cstheme="minorHAnsi"/>
        </w:rPr>
        <w:t xml:space="preserve">Alexander Samson (CELL, University College London), </w:t>
      </w:r>
      <w:r w:rsidR="006F7A50" w:rsidRPr="00C06E24">
        <w:rPr>
          <w:rFonts w:asciiTheme="minorHAnsi" w:hAnsiTheme="minorHAnsi" w:cstheme="minorHAnsi"/>
        </w:rPr>
        <w:t>‘Robert Ashley's Spanish Books’</w:t>
      </w:r>
    </w:p>
    <w:p w14:paraId="314362E2" w14:textId="77777777" w:rsidR="006F7A50" w:rsidRPr="00C06E24" w:rsidRDefault="006F7A50" w:rsidP="00E66691">
      <w:pPr>
        <w:rPr>
          <w:rFonts w:asciiTheme="minorHAnsi" w:hAnsiTheme="minorHAnsi" w:cstheme="minorHAnsi"/>
        </w:rPr>
      </w:pPr>
      <w:r w:rsidRPr="00C06E24">
        <w:rPr>
          <w:rFonts w:asciiTheme="minorHAnsi" w:hAnsiTheme="minorHAnsi" w:cstheme="minorHAnsi"/>
          <w:b/>
        </w:rPr>
        <w:t>Ministers and their Libraries</w:t>
      </w:r>
    </w:p>
    <w:p w14:paraId="0135364C" w14:textId="77777777" w:rsidR="006F7A50" w:rsidRPr="00C06E24" w:rsidRDefault="00724130" w:rsidP="00E66691">
      <w:pPr>
        <w:pStyle w:val="ListParagraph"/>
        <w:numPr>
          <w:ilvl w:val="0"/>
          <w:numId w:val="11"/>
        </w:numPr>
        <w:ind w:left="284" w:hanging="284"/>
        <w:rPr>
          <w:rFonts w:asciiTheme="minorHAnsi" w:hAnsiTheme="minorHAnsi" w:cstheme="minorHAnsi"/>
        </w:rPr>
      </w:pPr>
      <w:r w:rsidRPr="00C06E24">
        <w:rPr>
          <w:rFonts w:asciiTheme="minorHAnsi" w:hAnsiTheme="minorHAnsi" w:cstheme="minorHAnsi"/>
        </w:rPr>
        <w:t>Forrest Strickland (University of St Andrews),</w:t>
      </w:r>
      <w:r w:rsidRPr="00C06E24">
        <w:rPr>
          <w:rFonts w:asciiTheme="minorHAnsi" w:hAnsiTheme="minorHAnsi" w:cstheme="minorHAnsi"/>
          <w:b/>
        </w:rPr>
        <w:t xml:space="preserve"> </w:t>
      </w:r>
      <w:r w:rsidR="006F7A50" w:rsidRPr="00C06E24">
        <w:rPr>
          <w:rFonts w:asciiTheme="minorHAnsi" w:hAnsiTheme="minorHAnsi" w:cstheme="minorHAnsi"/>
          <w:b/>
        </w:rPr>
        <w:t>‘</w:t>
      </w:r>
      <w:r w:rsidR="006F7A50" w:rsidRPr="00C06E24">
        <w:rPr>
          <w:rFonts w:asciiTheme="minorHAnsi" w:hAnsiTheme="minorHAnsi" w:cstheme="minorHAnsi"/>
        </w:rPr>
        <w:t>Dutch Ministers and the Ideal Library in the Seventeenth Century’</w:t>
      </w:r>
    </w:p>
    <w:p w14:paraId="7170ABF1" w14:textId="77777777" w:rsidR="006F7A50" w:rsidRPr="00C06E24" w:rsidRDefault="00724130" w:rsidP="00E66691">
      <w:pPr>
        <w:pStyle w:val="ListParagraph"/>
        <w:numPr>
          <w:ilvl w:val="0"/>
          <w:numId w:val="11"/>
        </w:numPr>
        <w:ind w:left="284" w:hanging="284"/>
        <w:rPr>
          <w:rFonts w:asciiTheme="minorHAnsi" w:hAnsiTheme="minorHAnsi" w:cstheme="minorHAnsi"/>
        </w:rPr>
      </w:pPr>
      <w:r w:rsidRPr="00C06E24">
        <w:rPr>
          <w:rFonts w:asciiTheme="minorHAnsi" w:hAnsiTheme="minorHAnsi" w:cstheme="minorHAnsi"/>
        </w:rPr>
        <w:t>Barry Taylor (The British Library), ‘</w:t>
      </w:r>
      <w:r w:rsidR="006F7A50" w:rsidRPr="00C06E24">
        <w:rPr>
          <w:rFonts w:asciiTheme="minorHAnsi" w:hAnsiTheme="minorHAnsi" w:cstheme="minorHAnsi"/>
        </w:rPr>
        <w:t>The Spanish and Italian Books of Dr William Bates in Dr Williams’s Library, London’</w:t>
      </w:r>
    </w:p>
    <w:p w14:paraId="0A812E72" w14:textId="77777777" w:rsidR="006F7A50" w:rsidRPr="00C06E24" w:rsidRDefault="00724130" w:rsidP="00E66691">
      <w:pPr>
        <w:pStyle w:val="ListParagraph"/>
        <w:numPr>
          <w:ilvl w:val="0"/>
          <w:numId w:val="11"/>
        </w:numPr>
        <w:ind w:left="284" w:hanging="284"/>
        <w:rPr>
          <w:rFonts w:asciiTheme="minorHAnsi" w:hAnsiTheme="minorHAnsi" w:cstheme="minorHAnsi"/>
        </w:rPr>
      </w:pPr>
      <w:r w:rsidRPr="00C06E24">
        <w:rPr>
          <w:rFonts w:asciiTheme="minorHAnsi" w:hAnsiTheme="minorHAnsi" w:cstheme="minorHAnsi"/>
        </w:rPr>
        <w:t xml:space="preserve">Alan Argent and Jane Giscombe (Dr Williams's Library) </w:t>
      </w:r>
      <w:r w:rsidR="006F7A50" w:rsidRPr="00C06E24">
        <w:rPr>
          <w:rFonts w:asciiTheme="minorHAnsi" w:hAnsiTheme="minorHAnsi" w:cstheme="minorHAnsi"/>
        </w:rPr>
        <w:t xml:space="preserve">‘The Books of Cesar Calandrini in Dr Williams's Library, London’ </w:t>
      </w:r>
    </w:p>
    <w:p w14:paraId="18DF8E07" w14:textId="77777777" w:rsidR="006F7A50" w:rsidRPr="00C06E24" w:rsidRDefault="006F7A50" w:rsidP="006F7A50">
      <w:pPr>
        <w:rPr>
          <w:rFonts w:asciiTheme="minorHAnsi" w:hAnsiTheme="minorHAnsi" w:cstheme="minorHAnsi"/>
          <w:b/>
        </w:rPr>
      </w:pPr>
      <w:r w:rsidRPr="00C06E24">
        <w:rPr>
          <w:rFonts w:asciiTheme="minorHAnsi" w:hAnsiTheme="minorHAnsi" w:cstheme="minorHAnsi"/>
          <w:b/>
        </w:rPr>
        <w:t>Artists, Women, and Libraries</w:t>
      </w:r>
    </w:p>
    <w:p w14:paraId="53586860" w14:textId="77777777" w:rsidR="006F7A50" w:rsidRPr="00C06E24" w:rsidRDefault="00724130" w:rsidP="00E66691">
      <w:pPr>
        <w:pStyle w:val="ListParagraph"/>
        <w:numPr>
          <w:ilvl w:val="0"/>
          <w:numId w:val="12"/>
        </w:numPr>
        <w:ind w:left="284" w:hanging="284"/>
        <w:rPr>
          <w:rFonts w:asciiTheme="minorHAnsi" w:hAnsiTheme="minorHAnsi" w:cstheme="minorHAnsi"/>
        </w:rPr>
      </w:pPr>
      <w:r w:rsidRPr="00C06E24">
        <w:rPr>
          <w:rFonts w:asciiTheme="minorHAnsi" w:hAnsiTheme="minorHAnsi" w:cstheme="minorHAnsi"/>
        </w:rPr>
        <w:t>Marta Cacho (CRASSH, University of Cambridge)</w:t>
      </w:r>
      <w:r w:rsidRPr="00C06E24">
        <w:rPr>
          <w:rFonts w:asciiTheme="minorHAnsi" w:hAnsiTheme="minorHAnsi" w:cstheme="minorHAnsi"/>
          <w:b/>
        </w:rPr>
        <w:t xml:space="preserve">,  </w:t>
      </w:r>
      <w:r w:rsidR="006F7A50" w:rsidRPr="00C06E24">
        <w:rPr>
          <w:rFonts w:asciiTheme="minorHAnsi" w:hAnsiTheme="minorHAnsi" w:cstheme="minorHAnsi"/>
          <w:b/>
        </w:rPr>
        <w:t>‘</w:t>
      </w:r>
      <w:r w:rsidR="006F7A50" w:rsidRPr="00C06E24">
        <w:rPr>
          <w:rFonts w:asciiTheme="minorHAnsi" w:hAnsiTheme="minorHAnsi" w:cstheme="minorHAnsi"/>
        </w:rPr>
        <w:t>Reading Out Loud, Painting Out Loud: Reading, Conviviality and the Creative Act in Early Modern Studios’</w:t>
      </w:r>
    </w:p>
    <w:p w14:paraId="01A90FCF" w14:textId="77777777" w:rsidR="006F7A50" w:rsidRPr="00C06E24" w:rsidRDefault="001B5CD8" w:rsidP="00E66691">
      <w:pPr>
        <w:pStyle w:val="ListParagraph"/>
        <w:numPr>
          <w:ilvl w:val="0"/>
          <w:numId w:val="12"/>
        </w:numPr>
        <w:ind w:left="284" w:hanging="284"/>
        <w:rPr>
          <w:rFonts w:asciiTheme="minorHAnsi" w:hAnsiTheme="minorHAnsi" w:cstheme="minorHAnsi"/>
        </w:rPr>
      </w:pPr>
      <w:r w:rsidRPr="00C06E24">
        <w:rPr>
          <w:rFonts w:asciiTheme="minorHAnsi" w:hAnsiTheme="minorHAnsi" w:cstheme="minorHAnsi"/>
        </w:rPr>
        <w:t xml:space="preserve">Jason McElligott (Marsh’s Library, Dublin), </w:t>
      </w:r>
      <w:r w:rsidR="006F7A50" w:rsidRPr="00C06E24">
        <w:rPr>
          <w:rFonts w:asciiTheme="minorHAnsi" w:hAnsiTheme="minorHAnsi" w:cstheme="minorHAnsi"/>
        </w:rPr>
        <w:t>‘Evidence for Female Book Ownership in Seventeenth-Century Libraries’</w:t>
      </w:r>
    </w:p>
    <w:p w14:paraId="4DD01F03" w14:textId="77777777" w:rsidR="006F7A50" w:rsidRPr="00C06E24" w:rsidRDefault="001B5CD8" w:rsidP="00E66691">
      <w:pPr>
        <w:pStyle w:val="ListParagraph"/>
        <w:numPr>
          <w:ilvl w:val="0"/>
          <w:numId w:val="12"/>
        </w:numPr>
        <w:ind w:left="284" w:hanging="284"/>
        <w:rPr>
          <w:rFonts w:asciiTheme="minorHAnsi" w:hAnsiTheme="minorHAnsi" w:cstheme="minorHAnsi"/>
        </w:rPr>
      </w:pPr>
      <w:r w:rsidRPr="00C06E24">
        <w:rPr>
          <w:rFonts w:asciiTheme="minorHAnsi" w:hAnsiTheme="minorHAnsi" w:cstheme="minorHAnsi"/>
        </w:rPr>
        <w:t xml:space="preserve">Dominique Varry (École nationale supérieure des sciences de l'information et des bibliothèques, Lyon), </w:t>
      </w:r>
      <w:r w:rsidR="006F7A50" w:rsidRPr="00C06E24">
        <w:rPr>
          <w:rFonts w:asciiTheme="minorHAnsi" w:hAnsiTheme="minorHAnsi" w:cstheme="minorHAnsi"/>
        </w:rPr>
        <w:t>‘Tracking a Burgundian Scattered Library’</w:t>
      </w:r>
    </w:p>
    <w:p w14:paraId="44429360" w14:textId="77777777" w:rsidR="006F7A50" w:rsidRPr="00C06E24" w:rsidRDefault="006F7A50" w:rsidP="006F7A50">
      <w:pPr>
        <w:ind w:left="709" w:hanging="709"/>
        <w:rPr>
          <w:rFonts w:asciiTheme="minorHAnsi" w:hAnsiTheme="minorHAnsi" w:cstheme="minorHAnsi"/>
          <w:b/>
        </w:rPr>
      </w:pPr>
      <w:r w:rsidRPr="00C06E24">
        <w:rPr>
          <w:rFonts w:asciiTheme="minorHAnsi" w:hAnsiTheme="minorHAnsi" w:cstheme="minorHAnsi"/>
          <w:b/>
        </w:rPr>
        <w:t>Special Session</w:t>
      </w:r>
    </w:p>
    <w:p w14:paraId="491CB4A6" w14:textId="77777777" w:rsidR="006F7A50" w:rsidRPr="00C06E24" w:rsidRDefault="001B5CD8" w:rsidP="001B5CD8">
      <w:pPr>
        <w:rPr>
          <w:rFonts w:asciiTheme="minorHAnsi" w:hAnsiTheme="minorHAnsi" w:cstheme="minorHAnsi"/>
        </w:rPr>
      </w:pPr>
      <w:r w:rsidRPr="00C06E24">
        <w:rPr>
          <w:rFonts w:asciiTheme="minorHAnsi" w:hAnsiTheme="minorHAnsi" w:cstheme="minorHAnsi"/>
        </w:rPr>
        <w:t xml:space="preserve">Andrew Pettegree and Arthur der Weduwen (University of St Andrews), </w:t>
      </w:r>
      <w:r w:rsidR="006F7A50" w:rsidRPr="00C06E24">
        <w:rPr>
          <w:rFonts w:asciiTheme="minorHAnsi" w:hAnsiTheme="minorHAnsi" w:cstheme="minorHAnsi"/>
        </w:rPr>
        <w:t>‘Chasing Alexandria: The Public and Private in the Seventeenth-Century Dutch Library’</w:t>
      </w:r>
    </w:p>
    <w:p w14:paraId="6D4B17EC" w14:textId="77777777" w:rsidR="001B5CD8" w:rsidRPr="00C06E24" w:rsidRDefault="006F7A50" w:rsidP="001B5CD8">
      <w:pPr>
        <w:jc w:val="center"/>
        <w:rPr>
          <w:rFonts w:asciiTheme="minorHAnsi" w:hAnsiTheme="minorHAnsi" w:cstheme="minorHAnsi"/>
          <w:u w:val="single"/>
        </w:rPr>
      </w:pPr>
      <w:r w:rsidRPr="00C06E24">
        <w:rPr>
          <w:rFonts w:asciiTheme="minorHAnsi" w:hAnsiTheme="minorHAnsi" w:cstheme="minorHAnsi"/>
          <w:u w:val="single"/>
        </w:rPr>
        <w:t>Saturday, 8 June</w:t>
      </w:r>
      <w:r w:rsidR="001B5CD8" w:rsidRPr="00C06E24">
        <w:rPr>
          <w:rFonts w:asciiTheme="minorHAnsi" w:hAnsiTheme="minorHAnsi" w:cstheme="minorHAnsi"/>
          <w:u w:val="single"/>
        </w:rPr>
        <w:t xml:space="preserve"> (</w:t>
      </w:r>
      <w:r w:rsidRPr="00C06E24">
        <w:rPr>
          <w:rFonts w:asciiTheme="minorHAnsi" w:hAnsiTheme="minorHAnsi" w:cstheme="minorHAnsi"/>
          <w:u w:val="single"/>
        </w:rPr>
        <w:t>10.00</w:t>
      </w:r>
      <w:r w:rsidR="001B5CD8" w:rsidRPr="00C06E24">
        <w:rPr>
          <w:rFonts w:asciiTheme="minorHAnsi" w:hAnsiTheme="minorHAnsi" w:cstheme="minorHAnsi"/>
          <w:u w:val="single"/>
        </w:rPr>
        <w:t xml:space="preserve"> – 1.45)</w:t>
      </w:r>
    </w:p>
    <w:p w14:paraId="74E1ADD8" w14:textId="77777777" w:rsidR="006F7A50" w:rsidRPr="00C06E24" w:rsidRDefault="006F7A50" w:rsidP="006F7A50">
      <w:pPr>
        <w:rPr>
          <w:rFonts w:asciiTheme="minorHAnsi" w:hAnsiTheme="minorHAnsi" w:cstheme="minorHAnsi"/>
        </w:rPr>
      </w:pPr>
      <w:r w:rsidRPr="00C06E24">
        <w:rPr>
          <w:rFonts w:asciiTheme="minorHAnsi" w:hAnsiTheme="minorHAnsi" w:cstheme="minorHAnsi"/>
          <w:b/>
        </w:rPr>
        <w:t>Collections in London</w:t>
      </w:r>
    </w:p>
    <w:p w14:paraId="10D73414" w14:textId="77777777" w:rsidR="001B5CD8" w:rsidRPr="00C06E24" w:rsidRDefault="001B5CD8" w:rsidP="00E66691">
      <w:pPr>
        <w:pStyle w:val="ListParagraph"/>
        <w:numPr>
          <w:ilvl w:val="0"/>
          <w:numId w:val="14"/>
        </w:numPr>
        <w:ind w:left="284" w:hanging="284"/>
        <w:rPr>
          <w:rFonts w:asciiTheme="minorHAnsi" w:hAnsiTheme="minorHAnsi" w:cstheme="minorHAnsi"/>
        </w:rPr>
      </w:pPr>
      <w:r w:rsidRPr="00C06E24">
        <w:rPr>
          <w:rFonts w:asciiTheme="minorHAnsi" w:hAnsiTheme="minorHAnsi" w:cstheme="minorHAnsi"/>
        </w:rPr>
        <w:t xml:space="preserve">Renae Satterley (Middle Temple Library), </w:t>
      </w:r>
      <w:r w:rsidR="006F7A50" w:rsidRPr="00C06E24">
        <w:rPr>
          <w:rFonts w:asciiTheme="minorHAnsi" w:hAnsiTheme="minorHAnsi" w:cstheme="minorHAnsi"/>
        </w:rPr>
        <w:t>‘Robert Ashley: Early Modern Lawyer, Translator, and Bibliophile’</w:t>
      </w:r>
    </w:p>
    <w:p w14:paraId="2AF59971" w14:textId="77777777" w:rsidR="006F7A50" w:rsidRPr="00C06E24" w:rsidRDefault="001B5CD8" w:rsidP="00E66691">
      <w:pPr>
        <w:pStyle w:val="ListParagraph"/>
        <w:numPr>
          <w:ilvl w:val="0"/>
          <w:numId w:val="14"/>
        </w:numPr>
        <w:ind w:left="284" w:hanging="284"/>
        <w:rPr>
          <w:rFonts w:asciiTheme="minorHAnsi" w:hAnsiTheme="minorHAnsi" w:cstheme="minorHAnsi"/>
        </w:rPr>
      </w:pPr>
      <w:r w:rsidRPr="00C06E24">
        <w:rPr>
          <w:rFonts w:asciiTheme="minorHAnsi" w:hAnsiTheme="minorHAnsi" w:cstheme="minorHAnsi"/>
        </w:rPr>
        <w:t xml:space="preserve">Ed Potten (Durham University) and Katie Birkwood (Royal College of Physicians), </w:t>
      </w:r>
      <w:r w:rsidR="006F7A50" w:rsidRPr="00C06E24">
        <w:rPr>
          <w:rFonts w:asciiTheme="minorHAnsi" w:hAnsiTheme="minorHAnsi" w:cstheme="minorHAnsi"/>
        </w:rPr>
        <w:t>‘Dispersal and Development: The Building Blocks of the Dorchester Library’</w:t>
      </w:r>
    </w:p>
    <w:p w14:paraId="2B0C440B" w14:textId="77777777" w:rsidR="006F7A50" w:rsidRPr="00C06E24" w:rsidRDefault="001B5CD8" w:rsidP="00E66691">
      <w:pPr>
        <w:pStyle w:val="ListParagraph"/>
        <w:numPr>
          <w:ilvl w:val="0"/>
          <w:numId w:val="14"/>
        </w:numPr>
        <w:ind w:left="284" w:hanging="284"/>
        <w:rPr>
          <w:rFonts w:asciiTheme="minorHAnsi" w:hAnsiTheme="minorHAnsi" w:cstheme="minorHAnsi"/>
        </w:rPr>
      </w:pPr>
      <w:r w:rsidRPr="00C06E24">
        <w:rPr>
          <w:rFonts w:asciiTheme="minorHAnsi" w:hAnsiTheme="minorHAnsi" w:cstheme="minorHAnsi"/>
        </w:rPr>
        <w:t xml:space="preserve">Elizabeth Wells (Westminster School), </w:t>
      </w:r>
      <w:r w:rsidR="006F7A50" w:rsidRPr="00C06E24">
        <w:rPr>
          <w:rFonts w:asciiTheme="minorHAnsi" w:hAnsiTheme="minorHAnsi" w:cstheme="minorHAnsi"/>
        </w:rPr>
        <w:t>‘“All my best Bookes”: The Libraries of Dr Richard Busby and Dr John Pell’</w:t>
      </w:r>
    </w:p>
    <w:p w14:paraId="109B121F" w14:textId="77777777" w:rsidR="006F7A50" w:rsidRPr="00C06E24" w:rsidRDefault="006F7A50" w:rsidP="006F7A50">
      <w:pPr>
        <w:rPr>
          <w:rFonts w:asciiTheme="minorHAnsi" w:hAnsiTheme="minorHAnsi" w:cstheme="minorHAnsi"/>
        </w:rPr>
      </w:pPr>
      <w:r w:rsidRPr="00C06E24">
        <w:rPr>
          <w:rFonts w:asciiTheme="minorHAnsi" w:hAnsiTheme="minorHAnsi" w:cstheme="minorHAnsi"/>
          <w:b/>
        </w:rPr>
        <w:t>English Book Owners</w:t>
      </w:r>
    </w:p>
    <w:p w14:paraId="2812E49D" w14:textId="77777777" w:rsidR="006F7A50" w:rsidRPr="00C06E24" w:rsidRDefault="001B5CD8" w:rsidP="00E66691">
      <w:pPr>
        <w:pStyle w:val="ListParagraph"/>
        <w:numPr>
          <w:ilvl w:val="0"/>
          <w:numId w:val="15"/>
        </w:numPr>
        <w:ind w:left="284" w:hanging="284"/>
        <w:rPr>
          <w:rFonts w:asciiTheme="minorHAnsi" w:hAnsiTheme="minorHAnsi" w:cstheme="minorHAnsi"/>
        </w:rPr>
      </w:pPr>
      <w:r w:rsidRPr="00C06E24">
        <w:rPr>
          <w:rFonts w:asciiTheme="minorHAnsi" w:hAnsiTheme="minorHAnsi" w:cstheme="minorHAnsi"/>
        </w:rPr>
        <w:t xml:space="preserve">Dunstan Roberts (Corpus Christi College, Cambridge), </w:t>
      </w:r>
      <w:r w:rsidR="006F7A50" w:rsidRPr="00C06E24">
        <w:rPr>
          <w:rFonts w:asciiTheme="minorHAnsi" w:hAnsiTheme="minorHAnsi" w:cstheme="minorHAnsi"/>
        </w:rPr>
        <w:t>‘The Books of Lord Herbert of Cherbury’</w:t>
      </w:r>
    </w:p>
    <w:p w14:paraId="77D91B19" w14:textId="77777777" w:rsidR="006F7A50" w:rsidRPr="00C06E24" w:rsidRDefault="001B5CD8" w:rsidP="00E66691">
      <w:pPr>
        <w:pStyle w:val="ListParagraph"/>
        <w:numPr>
          <w:ilvl w:val="0"/>
          <w:numId w:val="15"/>
        </w:numPr>
        <w:ind w:left="284" w:hanging="284"/>
        <w:rPr>
          <w:rFonts w:asciiTheme="minorHAnsi" w:hAnsiTheme="minorHAnsi" w:cstheme="minorHAnsi"/>
        </w:rPr>
      </w:pPr>
      <w:r w:rsidRPr="00C06E24">
        <w:rPr>
          <w:rFonts w:asciiTheme="minorHAnsi" w:hAnsiTheme="minorHAnsi" w:cstheme="minorHAnsi"/>
        </w:rPr>
        <w:t xml:space="preserve">Francesca Galligan (Bodleian Library, University of Oxford), </w:t>
      </w:r>
      <w:r w:rsidR="006F7A50" w:rsidRPr="00C06E24">
        <w:rPr>
          <w:rFonts w:asciiTheme="minorHAnsi" w:hAnsiTheme="minorHAnsi" w:cstheme="minorHAnsi"/>
        </w:rPr>
        <w:t>‘The “Travelling Library” of Charles I’</w:t>
      </w:r>
    </w:p>
    <w:p w14:paraId="5EF17389" w14:textId="77777777" w:rsidR="006F7A50" w:rsidRPr="00C06E24" w:rsidRDefault="001B5CD8" w:rsidP="00E66691">
      <w:pPr>
        <w:pStyle w:val="ListParagraph"/>
        <w:numPr>
          <w:ilvl w:val="0"/>
          <w:numId w:val="15"/>
        </w:numPr>
        <w:ind w:left="284" w:hanging="284"/>
        <w:rPr>
          <w:rFonts w:asciiTheme="minorHAnsi" w:hAnsiTheme="minorHAnsi" w:cstheme="minorHAnsi"/>
        </w:rPr>
      </w:pPr>
      <w:r w:rsidRPr="00C06E24">
        <w:rPr>
          <w:rFonts w:asciiTheme="minorHAnsi" w:hAnsiTheme="minorHAnsi" w:cstheme="minorHAnsi"/>
        </w:rPr>
        <w:t xml:space="preserve">David Pearson (University College London), </w:t>
      </w:r>
      <w:r w:rsidR="006F7A50" w:rsidRPr="00C06E24">
        <w:rPr>
          <w:rFonts w:asciiTheme="minorHAnsi" w:hAnsiTheme="minorHAnsi" w:cstheme="minorHAnsi"/>
        </w:rPr>
        <w:t>‘A Directory of Seventeenth-Century English Book Owners’</w:t>
      </w:r>
    </w:p>
    <w:p w14:paraId="04D43DF8" w14:textId="626DA201" w:rsidR="00F218AB" w:rsidRPr="00C06E24" w:rsidRDefault="00F218AB" w:rsidP="00D33A2C">
      <w:pPr>
        <w:jc w:val="both"/>
        <w:rPr>
          <w:rFonts w:asciiTheme="minorHAnsi" w:hAnsiTheme="minorHAnsi" w:cstheme="minorHAnsi"/>
        </w:rPr>
      </w:pPr>
    </w:p>
    <w:sectPr w:rsidR="00F218AB" w:rsidRPr="00C06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215E"/>
    <w:multiLevelType w:val="hybridMultilevel"/>
    <w:tmpl w:val="8F26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B1075"/>
    <w:multiLevelType w:val="hybridMultilevel"/>
    <w:tmpl w:val="2D32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D167F"/>
    <w:multiLevelType w:val="hybridMultilevel"/>
    <w:tmpl w:val="794E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F1E22"/>
    <w:multiLevelType w:val="hybridMultilevel"/>
    <w:tmpl w:val="5824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178B8"/>
    <w:multiLevelType w:val="hybridMultilevel"/>
    <w:tmpl w:val="CF2C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E2198"/>
    <w:multiLevelType w:val="hybridMultilevel"/>
    <w:tmpl w:val="6D4C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95BB9"/>
    <w:multiLevelType w:val="hybridMultilevel"/>
    <w:tmpl w:val="05DE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120B2"/>
    <w:multiLevelType w:val="hybridMultilevel"/>
    <w:tmpl w:val="EB2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76C1D"/>
    <w:multiLevelType w:val="hybridMultilevel"/>
    <w:tmpl w:val="01CA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81337"/>
    <w:multiLevelType w:val="hybridMultilevel"/>
    <w:tmpl w:val="8F3E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53354"/>
    <w:multiLevelType w:val="hybridMultilevel"/>
    <w:tmpl w:val="B750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22724"/>
    <w:multiLevelType w:val="hybridMultilevel"/>
    <w:tmpl w:val="A74C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441CE"/>
    <w:multiLevelType w:val="hybridMultilevel"/>
    <w:tmpl w:val="F2A4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825F9"/>
    <w:multiLevelType w:val="hybridMultilevel"/>
    <w:tmpl w:val="E580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CB2970"/>
    <w:multiLevelType w:val="hybridMultilevel"/>
    <w:tmpl w:val="624C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0"/>
  </w:num>
  <w:num w:numId="5">
    <w:abstractNumId w:val="1"/>
  </w:num>
  <w:num w:numId="6">
    <w:abstractNumId w:val="2"/>
  </w:num>
  <w:num w:numId="7">
    <w:abstractNumId w:val="0"/>
  </w:num>
  <w:num w:numId="8">
    <w:abstractNumId w:val="9"/>
  </w:num>
  <w:num w:numId="9">
    <w:abstractNumId w:val="8"/>
  </w:num>
  <w:num w:numId="10">
    <w:abstractNumId w:val="14"/>
  </w:num>
  <w:num w:numId="11">
    <w:abstractNumId w:val="12"/>
  </w:num>
  <w:num w:numId="12">
    <w:abstractNumId w:val="4"/>
  </w:num>
  <w:num w:numId="13">
    <w:abstractNumId w:val="6"/>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5E"/>
    <w:rsid w:val="0011003A"/>
    <w:rsid w:val="001B5CD8"/>
    <w:rsid w:val="002017AD"/>
    <w:rsid w:val="002B2AC6"/>
    <w:rsid w:val="003C1217"/>
    <w:rsid w:val="003C213B"/>
    <w:rsid w:val="0059014F"/>
    <w:rsid w:val="005C0765"/>
    <w:rsid w:val="006F7A50"/>
    <w:rsid w:val="00724130"/>
    <w:rsid w:val="007C37F8"/>
    <w:rsid w:val="008C59F0"/>
    <w:rsid w:val="009841B4"/>
    <w:rsid w:val="00AE0D46"/>
    <w:rsid w:val="00C06E24"/>
    <w:rsid w:val="00CB4FA1"/>
    <w:rsid w:val="00D33A2C"/>
    <w:rsid w:val="00DB315E"/>
    <w:rsid w:val="00E66691"/>
    <w:rsid w:val="00E97888"/>
    <w:rsid w:val="00F2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E0B6"/>
  <w15:chartTrackingRefBased/>
  <w15:docId w15:val="{FDC8AD10-8966-4347-800E-7961DFC5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CD8"/>
    <w:pPr>
      <w:ind w:left="720"/>
      <w:contextualSpacing/>
    </w:pPr>
  </w:style>
  <w:style w:type="paragraph" w:styleId="BalloonText">
    <w:name w:val="Balloon Text"/>
    <w:basedOn w:val="Normal"/>
    <w:link w:val="BalloonTextChar"/>
    <w:uiPriority w:val="99"/>
    <w:semiHidden/>
    <w:unhideWhenUsed/>
    <w:rsid w:val="007C3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7F8"/>
    <w:rPr>
      <w:rFonts w:ascii="Segoe UI" w:hAnsi="Segoe UI" w:cs="Segoe UI"/>
      <w:noProof/>
      <w:sz w:val="18"/>
      <w:szCs w:val="18"/>
    </w:rPr>
  </w:style>
  <w:style w:type="character" w:styleId="Hyperlink">
    <w:name w:val="Hyperlink"/>
    <w:basedOn w:val="DefaultParagraphFont"/>
    <w:uiPriority w:val="99"/>
    <w:unhideWhenUsed/>
    <w:rsid w:val="00C06E24"/>
    <w:rPr>
      <w:color w:val="0000FF"/>
      <w:u w:val="single"/>
    </w:rPr>
  </w:style>
  <w:style w:type="character" w:customStyle="1" w:styleId="UnresolvedMention">
    <w:name w:val="Unresolved Mention"/>
    <w:basedOn w:val="DefaultParagraphFont"/>
    <w:uiPriority w:val="99"/>
    <w:semiHidden/>
    <w:unhideWhenUsed/>
    <w:rsid w:val="00C06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5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lomski@ucl.ac.uk" TargetMode="External"/><Relationship Id="rId3" Type="http://schemas.openxmlformats.org/officeDocument/2006/relationships/settings" Target="settings.xml"/><Relationship Id="rId7" Type="http://schemas.openxmlformats.org/officeDocument/2006/relationships/hyperlink" Target="mailto:robyn.adams@u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store.ucl.ac.uk/conferences-and-events/faculty-of-arts-humanities-c01/centre-for-editing-lives-letters-j75/j75-seventeenthcentury-libraries-problems-perspectiv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Glomski</dc:creator>
  <cp:keywords/>
  <dc:description/>
  <cp:lastModifiedBy>Jacqueline Glomski</cp:lastModifiedBy>
  <cp:revision>2</cp:revision>
  <cp:lastPrinted>2019-02-06T12:15:00Z</cp:lastPrinted>
  <dcterms:created xsi:type="dcterms:W3CDTF">2019-03-06T10:15:00Z</dcterms:created>
  <dcterms:modified xsi:type="dcterms:W3CDTF">2019-03-06T10:15:00Z</dcterms:modified>
</cp:coreProperties>
</file>